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453A6F">
        <w:rPr>
          <w:sz w:val="28"/>
        </w:rPr>
        <w:t>Handygebühr</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453A6F" w:rsidTr="00453A6F">
        <w:tc>
          <w:tcPr>
            <w:tcW w:w="2466" w:type="dxa"/>
            <w:tcBorders>
              <w:top w:val="single" w:sz="4" w:space="0" w:color="auto"/>
            </w:tcBorders>
            <w:vAlign w:val="center"/>
          </w:tcPr>
          <w:p w:rsidR="00453A6F" w:rsidRDefault="00453A6F" w:rsidP="00E34C94">
            <w:pPr>
              <w:pStyle w:val="IQB-Merkmal"/>
            </w:pPr>
            <w:r>
              <w:t>Leitidee</w:t>
            </w:r>
          </w:p>
        </w:tc>
        <w:tc>
          <w:tcPr>
            <w:tcW w:w="6604" w:type="dxa"/>
            <w:tcBorders>
              <w:top w:val="single" w:sz="4" w:space="0" w:color="auto"/>
            </w:tcBorders>
          </w:tcPr>
          <w:p w:rsidR="00453A6F" w:rsidRDefault="00453A6F" w:rsidP="00E34C94">
            <w:pPr>
              <w:pStyle w:val="IQB-Merkmalswert"/>
            </w:pPr>
            <w:r>
              <w:t>1. Zahl</w:t>
            </w:r>
          </w:p>
        </w:tc>
      </w:tr>
      <w:tr w:rsidR="00453A6F" w:rsidTr="00453A6F">
        <w:tc>
          <w:tcPr>
            <w:tcW w:w="2466" w:type="dxa"/>
            <w:vAlign w:val="center"/>
          </w:tcPr>
          <w:p w:rsidR="00453A6F" w:rsidRDefault="00453A6F" w:rsidP="00E34C94">
            <w:pPr>
              <w:pStyle w:val="IQB-Merkmal"/>
            </w:pPr>
            <w:r>
              <w:t>Allgemeine Kompetenz</w:t>
            </w:r>
          </w:p>
        </w:tc>
        <w:tc>
          <w:tcPr>
            <w:tcW w:w="6604" w:type="dxa"/>
          </w:tcPr>
          <w:p w:rsidR="00453A6F" w:rsidRDefault="00453A6F" w:rsidP="00E34C94">
            <w:pPr>
              <w:pStyle w:val="IQB-Merkmalswert"/>
            </w:pPr>
            <w:r>
              <w:t>Mathematisches Modellieren (K3),</w:t>
            </w:r>
          </w:p>
          <w:p w:rsidR="00453A6F" w:rsidRDefault="00453A6F" w:rsidP="00E34C94">
            <w:pPr>
              <w:pStyle w:val="IQB-Merkmalswert"/>
            </w:pPr>
            <w:r>
              <w:t>Mit Mathematik symbolisch/ formal/ technisch umgehen (K5)</w:t>
            </w:r>
          </w:p>
        </w:tc>
      </w:tr>
      <w:tr w:rsidR="00453A6F" w:rsidTr="00453A6F">
        <w:tc>
          <w:tcPr>
            <w:tcW w:w="2466" w:type="dxa"/>
            <w:vAlign w:val="center"/>
          </w:tcPr>
          <w:p w:rsidR="00453A6F" w:rsidRDefault="00453A6F" w:rsidP="00E34C94">
            <w:pPr>
              <w:pStyle w:val="IQB-Merkmal"/>
            </w:pPr>
            <w:r>
              <w:t>Anforderungsbereich</w:t>
            </w:r>
          </w:p>
        </w:tc>
        <w:tc>
          <w:tcPr>
            <w:tcW w:w="6604" w:type="dxa"/>
          </w:tcPr>
          <w:p w:rsidR="00453A6F" w:rsidRDefault="00453A6F" w:rsidP="00E34C94">
            <w:pPr>
              <w:pStyle w:val="IQB-Merkmalswert"/>
            </w:pPr>
            <w:r>
              <w:t>I</w:t>
            </w:r>
          </w:p>
        </w:tc>
      </w:tr>
      <w:tr w:rsidR="00453A6F" w:rsidTr="00453A6F">
        <w:tc>
          <w:tcPr>
            <w:tcW w:w="2466" w:type="dxa"/>
            <w:tcBorders>
              <w:bottom w:val="single" w:sz="4" w:space="0" w:color="auto"/>
            </w:tcBorders>
            <w:vAlign w:val="center"/>
          </w:tcPr>
          <w:p w:rsidR="00453A6F" w:rsidRDefault="00453A6F" w:rsidP="00E34C94">
            <w:pPr>
              <w:pStyle w:val="IQB-Merkmal"/>
            </w:pPr>
            <w:r>
              <w:t>Kompetenzstufe</w:t>
            </w:r>
          </w:p>
        </w:tc>
        <w:tc>
          <w:tcPr>
            <w:tcW w:w="6604" w:type="dxa"/>
            <w:tcBorders>
              <w:bottom w:val="single" w:sz="4" w:space="0" w:color="auto"/>
            </w:tcBorders>
          </w:tcPr>
          <w:p w:rsidR="00453A6F" w:rsidRDefault="00453A6F" w:rsidP="00E34C94">
            <w:pPr>
              <w:pStyle w:val="IQB-Merkmalswert"/>
            </w:pPr>
            <w:r>
              <w:t>2</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453A6F" w:rsidTr="00453A6F">
        <w:tc>
          <w:tcPr>
            <w:tcW w:w="2466" w:type="dxa"/>
            <w:tcBorders>
              <w:top w:val="single" w:sz="4" w:space="0" w:color="auto"/>
            </w:tcBorders>
            <w:vAlign w:val="center"/>
          </w:tcPr>
          <w:p w:rsidR="00453A6F" w:rsidRDefault="00453A6F" w:rsidP="00E34C94">
            <w:pPr>
              <w:pStyle w:val="IQB-Merkmal"/>
            </w:pPr>
            <w:r>
              <w:t>Leitidee</w:t>
            </w:r>
          </w:p>
        </w:tc>
        <w:tc>
          <w:tcPr>
            <w:tcW w:w="6604" w:type="dxa"/>
            <w:tcBorders>
              <w:top w:val="single" w:sz="4" w:space="0" w:color="auto"/>
            </w:tcBorders>
          </w:tcPr>
          <w:p w:rsidR="00453A6F" w:rsidRDefault="00453A6F" w:rsidP="00E34C94">
            <w:pPr>
              <w:pStyle w:val="IQB-Merkmalswert"/>
            </w:pPr>
            <w:r>
              <w:t>4. Funktionaler Zusammenhang</w:t>
            </w:r>
          </w:p>
        </w:tc>
      </w:tr>
      <w:tr w:rsidR="00453A6F" w:rsidTr="00453A6F">
        <w:tc>
          <w:tcPr>
            <w:tcW w:w="2466" w:type="dxa"/>
            <w:vAlign w:val="center"/>
          </w:tcPr>
          <w:p w:rsidR="00453A6F" w:rsidRDefault="00453A6F" w:rsidP="00E34C94">
            <w:pPr>
              <w:pStyle w:val="IQB-Merkmal"/>
            </w:pPr>
            <w:r>
              <w:t>Allgemeine Kompetenz</w:t>
            </w:r>
          </w:p>
        </w:tc>
        <w:tc>
          <w:tcPr>
            <w:tcW w:w="6604" w:type="dxa"/>
          </w:tcPr>
          <w:p w:rsidR="00453A6F" w:rsidRDefault="00453A6F" w:rsidP="00E34C94">
            <w:pPr>
              <w:pStyle w:val="IQB-Merkmalswert"/>
            </w:pPr>
            <w:r w:rsidRPr="00370947">
              <w:t>Mathematisches Modellieren (K3)</w:t>
            </w:r>
            <w:r>
              <w:t>,</w:t>
            </w:r>
          </w:p>
          <w:p w:rsidR="00453A6F" w:rsidRDefault="00453A6F" w:rsidP="00E34C94">
            <w:pPr>
              <w:pStyle w:val="IQB-Merkmalswert"/>
            </w:pPr>
            <w:r>
              <w:t>Mit Mathematik symbolisch/ formal/ technisch umgehen (K5)</w:t>
            </w:r>
          </w:p>
        </w:tc>
      </w:tr>
      <w:tr w:rsidR="00453A6F" w:rsidTr="00453A6F">
        <w:tc>
          <w:tcPr>
            <w:tcW w:w="2466" w:type="dxa"/>
            <w:vAlign w:val="center"/>
          </w:tcPr>
          <w:p w:rsidR="00453A6F" w:rsidRDefault="00453A6F" w:rsidP="00E34C94">
            <w:pPr>
              <w:pStyle w:val="IQB-Merkmal"/>
            </w:pPr>
            <w:r>
              <w:t>Anforderungsbereich</w:t>
            </w:r>
          </w:p>
        </w:tc>
        <w:tc>
          <w:tcPr>
            <w:tcW w:w="6604" w:type="dxa"/>
          </w:tcPr>
          <w:p w:rsidR="00453A6F" w:rsidRDefault="00453A6F" w:rsidP="00E34C94">
            <w:pPr>
              <w:pStyle w:val="IQB-Merkmalswert"/>
            </w:pPr>
            <w:r>
              <w:t>I</w:t>
            </w:r>
          </w:p>
        </w:tc>
      </w:tr>
      <w:tr w:rsidR="00453A6F" w:rsidTr="00453A6F">
        <w:tc>
          <w:tcPr>
            <w:tcW w:w="2466" w:type="dxa"/>
            <w:tcBorders>
              <w:bottom w:val="single" w:sz="4" w:space="0" w:color="auto"/>
            </w:tcBorders>
            <w:vAlign w:val="center"/>
          </w:tcPr>
          <w:p w:rsidR="00453A6F" w:rsidRDefault="00453A6F" w:rsidP="00E34C94">
            <w:pPr>
              <w:pStyle w:val="IQB-Merkmal"/>
            </w:pPr>
            <w:r>
              <w:t>Kompetenzstufe</w:t>
            </w:r>
          </w:p>
        </w:tc>
        <w:tc>
          <w:tcPr>
            <w:tcW w:w="6604" w:type="dxa"/>
            <w:tcBorders>
              <w:bottom w:val="single" w:sz="4" w:space="0" w:color="auto"/>
            </w:tcBorders>
          </w:tcPr>
          <w:p w:rsidR="00453A6F" w:rsidRDefault="00453A6F" w:rsidP="00E34C94">
            <w:pPr>
              <w:pStyle w:val="IQB-Merkmalswert"/>
            </w:pPr>
            <w:r>
              <w:t>2</w:t>
            </w:r>
          </w:p>
        </w:tc>
      </w:tr>
    </w:tbl>
    <w:p w:rsidR="00694A63" w:rsidRPr="00694A63" w:rsidRDefault="00694A63" w:rsidP="00694A63">
      <w:pPr>
        <w:pStyle w:val="IQB-Teilaufgabentitel"/>
        <w:rPr>
          <w:b/>
        </w:rPr>
      </w:pPr>
      <w:r w:rsidRPr="00694A63">
        <w:rPr>
          <w:b/>
        </w:rPr>
        <w:t>Aufgabenbezogener Kommentar</w:t>
      </w:r>
    </w:p>
    <w:p w:rsidR="00453A6F" w:rsidRPr="00E02D0D" w:rsidRDefault="00453A6F" w:rsidP="00453A6F">
      <w:pPr>
        <w:pStyle w:val="IQB-Standard"/>
        <w:rPr>
          <w:sz w:val="22"/>
          <w:szCs w:val="22"/>
        </w:rPr>
      </w:pPr>
      <w:r w:rsidRPr="00E02D0D">
        <w:rPr>
          <w:sz w:val="22"/>
          <w:szCs w:val="22"/>
        </w:rPr>
        <w:t>Die erste Teilaufgabe wird der Leitidee Zahl (L1) zugeordnet, weil hier mit natürlichen Zahlen gerechnet wird. In der zweiten Teilaufgabe soll eine Funktionsgleichung identifiziert werden, weshalb sie zur Leitidee Funktionaler Zusammenhang (L4) gehört.</w:t>
      </w:r>
    </w:p>
    <w:p w:rsidR="00453A6F" w:rsidRPr="00E02D0D" w:rsidRDefault="00453A6F" w:rsidP="00453A6F">
      <w:pPr>
        <w:pStyle w:val="IQB-Standard"/>
        <w:rPr>
          <w:sz w:val="22"/>
          <w:szCs w:val="22"/>
        </w:rPr>
      </w:pPr>
      <w:r w:rsidRPr="00E02D0D">
        <w:rPr>
          <w:sz w:val="22"/>
          <w:szCs w:val="22"/>
        </w:rPr>
        <w:t>Im Aufgabentext wird beschrieben, welche Grundgebühren und Gebühren je Gesprächsminute ein bestimmter Handyanbieter verlangt. In Teilaufgabe 1 sollen die Schülerinnen und Schüler ein vertrautes und direkt erkennbares mathematisches Modell verwenden, um die Gesamtkosten zu berechnen, die bei einem vorgegeben Nutzungsverhalten anfallen (K3, K5).</w:t>
      </w:r>
    </w:p>
    <w:p w:rsidR="00453A6F" w:rsidRPr="00E02D0D" w:rsidRDefault="00453A6F" w:rsidP="00453A6F">
      <w:pPr>
        <w:pStyle w:val="IQB-Standard"/>
        <w:rPr>
          <w:sz w:val="22"/>
          <w:szCs w:val="22"/>
        </w:rPr>
      </w:pPr>
      <w:r w:rsidRPr="00E02D0D">
        <w:rPr>
          <w:sz w:val="22"/>
          <w:szCs w:val="22"/>
        </w:rPr>
        <w:t>Teilaufgabe 2 verlangt von den Lernenden, aus vier Funktionsgleichungen diejenige auszuwählen, die den funktionalen Zusammenhang zwischen Nutzungsdauer und Gesamtkosten beschreibt (K3, K5).</w:t>
      </w:r>
    </w:p>
    <w:p w:rsidR="00DD3C5F" w:rsidRPr="0092579F" w:rsidRDefault="00453A6F" w:rsidP="00453A6F">
      <w:pPr>
        <w:pStyle w:val="IQB-Standard"/>
        <w:rPr>
          <w:sz w:val="22"/>
          <w:szCs w:val="22"/>
        </w:rPr>
      </w:pPr>
      <w:r w:rsidRPr="00E02D0D">
        <w:rPr>
          <w:sz w:val="22"/>
          <w:szCs w:val="22"/>
        </w:rPr>
        <w:t>Die beiden Teilaufgaben werden Anforderungsbereich I zugeordnet, weil sich sowohl die Rechnung in der ersten Teilaufgabe als auch das mathematische Modell in der zweiten Teilaufgabe aus den gegebenen Informationen direkt bestimmen lassen</w:t>
      </w:r>
      <w:r w:rsidR="00C77D05" w:rsidRPr="001E7343">
        <w:rPr>
          <w:sz w:val="22"/>
          <w:szCs w:val="22"/>
        </w:rPr>
        <w:t>.</w:t>
      </w:r>
    </w:p>
    <w:p w:rsidR="00694A63" w:rsidRPr="00694A63" w:rsidRDefault="00694A63" w:rsidP="00694A63">
      <w:pPr>
        <w:pStyle w:val="IQB-Teilaufgabentitel"/>
        <w:rPr>
          <w:b/>
        </w:rPr>
      </w:pPr>
      <w:r w:rsidRPr="00694A63">
        <w:rPr>
          <w:b/>
        </w:rPr>
        <w:t>Anregungen für den Unterricht</w:t>
      </w:r>
    </w:p>
    <w:p w:rsidR="00453A6F" w:rsidRPr="00E02D0D" w:rsidRDefault="00453A6F" w:rsidP="00453A6F">
      <w:pPr>
        <w:pStyle w:val="IQB-Standard"/>
        <w:rPr>
          <w:sz w:val="22"/>
          <w:szCs w:val="22"/>
        </w:rPr>
      </w:pPr>
      <w:r w:rsidRPr="00E02D0D">
        <w:rPr>
          <w:sz w:val="22"/>
          <w:szCs w:val="22"/>
        </w:rPr>
        <w:t xml:space="preserve">Aufgaben zum Modellieren mit linearen Funktionen haben seit geraumer Zeit Eingang in diverse Unterrichtslehrwerke der Mathematik gefunden. Tarife für Mobiltelefone eignen sich deshalb als Kontext, da sie zum einen authentisch und zum anderen nah an der Lebenswelt der Schülerinnen und Schüler sind. Darüber hinaus lässt sich der Kontext mit dem Wissen über lineare Funktionen erschließen, weshalb insbesondere in der Sekundarstufe I auf diesen Kontext zurückgegriffen wird. </w:t>
      </w:r>
    </w:p>
    <w:p w:rsidR="00453A6F" w:rsidRPr="00E02D0D" w:rsidRDefault="00453A6F" w:rsidP="00453A6F">
      <w:pPr>
        <w:pStyle w:val="IQB-Standard"/>
        <w:rPr>
          <w:sz w:val="22"/>
          <w:szCs w:val="22"/>
        </w:rPr>
      </w:pPr>
      <w:r w:rsidRPr="00E02D0D">
        <w:rPr>
          <w:sz w:val="22"/>
          <w:szCs w:val="22"/>
        </w:rPr>
        <w:t xml:space="preserve">Es gibt auch noch weitere typische Preismodelle, die lineare Funktionen beinhalten. Es handelt sich dabei um das Einkaufs-Modell, das Flatrate-Modell, das Parkhausmodell und das Heizölmodell. Das klassische Einkaufsmodell geht davon aus, dass beliebige Mengen möglich sind und Rabatte nicht vorkommen. Wir erhalten dann eine proportionale lineare Funktion. </w:t>
      </w:r>
    </w:p>
    <w:p w:rsidR="00453A6F" w:rsidRPr="00E02D0D" w:rsidRDefault="00453A6F" w:rsidP="00453A6F">
      <w:pPr>
        <w:pStyle w:val="IQB-Standard"/>
        <w:rPr>
          <w:sz w:val="22"/>
          <w:szCs w:val="22"/>
        </w:rPr>
      </w:pPr>
      <w:r w:rsidRPr="00E02D0D">
        <w:rPr>
          <w:sz w:val="22"/>
          <w:szCs w:val="22"/>
        </w:rPr>
        <w:t>Das Flatrate-Modell, das durch Preisangebote für Mobil- und Festnetztelefone bekannt geworden ist, geht davon aus, dass (in einer bestimmten Zeit) eine beliebige Datenmenge übertragen werden kann. Wir erhalten eine lineare Funktion, deren Graph zur x-Achse parallel ist. Die Frage, ab wie vielen Minuteneinheiten eine Flatrate aus Kostengründen sinnvoll ist, führt zur Berechnung des Schnittpunkts zwischen zwei Geraden. Einige Anbieter von Prepaid-Tarifen bieten einen sogenannten Kostenairbag an. Das bedeutet, dass ab einem bestimmten erreichten Betrag für weitere Minuten im Monat nicht zusätzlich bezahlt werden muss. Dieser Sachverhalt kann die Betrachtung von abschnittsweise definierten Funktionen motivieren.</w:t>
      </w:r>
    </w:p>
    <w:p w:rsidR="00453A6F" w:rsidRDefault="00453A6F" w:rsidP="00453A6F">
      <w:pPr>
        <w:pStyle w:val="IQB-Standard"/>
        <w:rPr>
          <w:sz w:val="22"/>
          <w:szCs w:val="22"/>
        </w:rPr>
      </w:pPr>
      <w:r w:rsidRPr="00E02D0D">
        <w:rPr>
          <w:sz w:val="22"/>
          <w:szCs w:val="22"/>
        </w:rPr>
        <w:t xml:space="preserve">Das Parkhausmodell geht davon aus, dass der Preis sich nach gewissen Zeitabständen erhöht und dann für immer gleiche Zeitdauern konstant bleibt. Ggf. ist der Preis für die erste Stunde anders als für weitere Stunden. Nach sehr vielen Stunden gibt es möglicherweise Rabatte, die hier vernachlässigt werden. Dies ergibt eine Treppenfunktion, deren erste Stufe ggf. eine andere Höhe </w:t>
      </w:r>
      <w:r w:rsidRPr="00E02D0D">
        <w:rPr>
          <w:sz w:val="22"/>
          <w:szCs w:val="22"/>
        </w:rPr>
        <w:lastRenderedPageBreak/>
        <w:t>hat. Das Heizölmodell geht auch von einer proportionalen Zuordnung von Menge und Preis aus, berücksichtigt aber Rabatte. An einigen Stellen setzt also eine neue proportionale Zuordnung an. Für eine sinnvolle Fortsetzung an den Übergangsstellen setzen wir voraus, dass man für eine geringere Menge nicht mehr bezahlen muss als für eine größere Menge.</w:t>
      </w:r>
    </w:p>
    <w:p w:rsidR="00453A6F" w:rsidRPr="00E02D0D" w:rsidRDefault="00453A6F" w:rsidP="00453A6F">
      <w:pPr>
        <w:pStyle w:val="IQB-Standard"/>
        <w:rPr>
          <w:sz w:val="22"/>
          <w:szCs w:val="22"/>
        </w:rPr>
      </w:pPr>
      <w:r>
        <w:rPr>
          <w:noProof/>
        </w:rPr>
        <mc:AlternateContent>
          <mc:Choice Requires="wps">
            <w:drawing>
              <wp:anchor distT="0" distB="0" distL="114297" distR="114297" simplePos="0" relativeHeight="251660288" behindDoc="0" locked="0" layoutInCell="1" allowOverlap="1">
                <wp:simplePos x="0" y="0"/>
                <wp:positionH relativeFrom="column">
                  <wp:posOffset>-133351</wp:posOffset>
                </wp:positionH>
                <wp:positionV relativeFrom="paragraph">
                  <wp:posOffset>167005</wp:posOffset>
                </wp:positionV>
                <wp:extent cx="0" cy="2203450"/>
                <wp:effectExtent l="19050" t="0" r="38100" b="44450"/>
                <wp:wrapNone/>
                <wp:docPr id="143" name="Gerader Verbinde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0345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C7DFE59" id="Gerader Verbinder 143" o:spid="_x0000_s1026" style="position:absolute;z-index:25166028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5pt,13.15pt" to="-10.5pt,1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" strokecolor="#bfbfbf" strokeweight="4.5pt">
                <o:lock v:ext="edit" shapetype="f"/>
              </v: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453A6F" w:rsidTr="00E34C94">
        <w:tc>
          <w:tcPr>
            <w:tcW w:w="9778" w:type="dxa"/>
          </w:tcPr>
          <w:p w:rsidR="00453A6F" w:rsidRDefault="00453A6F" w:rsidP="00E34C94">
            <w:pPr>
              <w:pStyle w:val="IQB-Standard"/>
            </w:pPr>
            <w:r w:rsidRPr="00D2488A">
              <w:rPr>
                <w:noProof/>
              </w:rPr>
              <w:drawing>
                <wp:inline distT="0" distB="0" distL="0" distR="0">
                  <wp:extent cx="1990725" cy="1790700"/>
                  <wp:effectExtent l="0" t="0" r="9525" b="0"/>
                  <wp:docPr id="5" name="Grafik 5" descr="Beschreibung: Graph Parkhaus-Mode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6" descr="Beschreibung: Graph Parkhaus-Modell.tif"/>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1990725" cy="1790700"/>
                          </a:xfrm>
                          <a:prstGeom prst="rect">
                            <a:avLst/>
                          </a:prstGeom>
                          <a:noFill/>
                          <a:ln>
                            <a:noFill/>
                          </a:ln>
                        </pic:spPr>
                      </pic:pic>
                    </a:graphicData>
                  </a:graphic>
                </wp:inline>
              </w:drawing>
            </w:r>
            <w:r>
              <w:t xml:space="preserve">                          </w:t>
            </w:r>
            <w:r w:rsidRPr="00D2488A">
              <w:rPr>
                <w:noProof/>
              </w:rPr>
              <w:drawing>
                <wp:inline distT="0" distB="0" distL="0" distR="0">
                  <wp:extent cx="2057400" cy="1781175"/>
                  <wp:effectExtent l="0" t="0" r="0" b="9525"/>
                  <wp:docPr id="4" name="Grafik 4" descr="Beschreibung: Graph Heizöl-Mode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6" descr="Beschreibung: Graph Heizöl-Modell.tif"/>
                          <pic:cNvPicPr>
                            <a:picLocks noChangeAspect="1" noChangeArrowheads="1"/>
                          </pic:cNvPicPr>
                        </pic:nvPicPr>
                        <pic:blipFill>
                          <a:blip r:embed="rId9" cstate="print">
                            <a:grayscl/>
                            <a:extLst>
                              <a:ext uri="{28A0092B-C50C-407E-A947-70E740481C1C}">
                                <a14:useLocalDpi xmlns:a14="http://schemas.microsoft.com/office/drawing/2010/main" val="0"/>
                              </a:ext>
                            </a:extLst>
                          </a:blip>
                          <a:srcRect/>
                          <a:stretch>
                            <a:fillRect/>
                          </a:stretch>
                        </pic:blipFill>
                        <pic:spPr bwMode="auto">
                          <a:xfrm>
                            <a:off x="0" y="0"/>
                            <a:ext cx="2057400" cy="1781175"/>
                          </a:xfrm>
                          <a:prstGeom prst="rect">
                            <a:avLst/>
                          </a:prstGeom>
                          <a:noFill/>
                          <a:ln>
                            <a:noFill/>
                          </a:ln>
                        </pic:spPr>
                      </pic:pic>
                    </a:graphicData>
                  </a:graphic>
                </wp:inline>
              </w:drawing>
            </w:r>
          </w:p>
          <w:p w:rsidR="00453A6F" w:rsidRDefault="00453A6F" w:rsidP="00E34C94">
            <w:pPr>
              <w:pStyle w:val="IQB-Standard"/>
            </w:pPr>
            <w:bookmarkStart w:id="0" w:name="_Toc249126308"/>
            <w:r>
              <w:t xml:space="preserve">                    </w:t>
            </w:r>
            <w:r w:rsidRPr="00453A6F">
              <w:rPr>
                <w:sz w:val="18"/>
              </w:rPr>
              <w:t>Parkhausmodell</w:t>
            </w:r>
            <w:bookmarkEnd w:id="0"/>
            <w:r w:rsidRPr="00453A6F">
              <w:rPr>
                <w:sz w:val="18"/>
              </w:rPr>
              <w:fldChar w:fldCharType="begin"/>
            </w:r>
            <w:r w:rsidRPr="00453A6F">
              <w:rPr>
                <w:sz w:val="18"/>
              </w:rPr>
              <w:instrText>xe "Parkhausmodell"</w:instrText>
            </w:r>
            <w:r w:rsidRPr="00453A6F">
              <w:rPr>
                <w:sz w:val="18"/>
              </w:rPr>
              <w:fldChar w:fldCharType="end"/>
            </w:r>
            <w:r w:rsidRPr="00453A6F">
              <w:rPr>
                <w:sz w:val="18"/>
              </w:rPr>
              <w:t xml:space="preserve"> </w:t>
            </w:r>
            <w:r>
              <w:tab/>
            </w:r>
            <w:r>
              <w:tab/>
            </w:r>
            <w:r>
              <w:tab/>
            </w:r>
            <w:r>
              <w:tab/>
            </w:r>
            <w:r>
              <w:tab/>
            </w:r>
            <w:r w:rsidRPr="00453A6F">
              <w:rPr>
                <w:sz w:val="18"/>
              </w:rPr>
              <w:t>Heizölmodell</w:t>
            </w:r>
          </w:p>
        </w:tc>
      </w:tr>
    </w:tbl>
    <w:p w:rsidR="00453A6F" w:rsidRDefault="00453A6F" w:rsidP="00453A6F">
      <w:pPr>
        <w:pStyle w:val="IQB-Standard"/>
      </w:pPr>
    </w:p>
    <w:p w:rsidR="00453A6F" w:rsidRDefault="00453A6F" w:rsidP="00453A6F">
      <w:pPr>
        <w:pStyle w:val="IQB-Standard"/>
        <w:rPr>
          <w:sz w:val="22"/>
          <w:szCs w:val="22"/>
        </w:rPr>
      </w:pPr>
      <w:r w:rsidRPr="00E02D0D">
        <w:rPr>
          <w:sz w:val="22"/>
          <w:szCs w:val="22"/>
        </w:rPr>
        <w:t>Will man den Handy-Kontext realistisch betrachten, so müssen eigentlich auch die Kosten für SMS und Datenverkehr berücksichtigt werden. Die Berechnung der monatlichen Kosten würde dann einer Funktion mit drei Variablen entsprechen. Da diese Betrachtung in der Sekundarstufe I womöglich zu weit führt, empfiehlt es sich, Flatrate-Optionen für SMS und Datenverkehr vorzugeben und diese dann mathematisch gesehen als y-Achsenabschnitt in die Aufgabe einfließen zu lassen. Eine Aufgabe könnte wie folgt lauten:</w:t>
      </w:r>
    </w:p>
    <w:p w:rsidR="00453A6F" w:rsidRPr="00E5581F" w:rsidRDefault="00453A6F" w:rsidP="00453A6F">
      <w:pPr>
        <w:pStyle w:val="IQB-Standard"/>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286"/>
      </w:tblGrid>
      <w:tr w:rsidR="00453A6F" w:rsidRPr="00E5581F" w:rsidTr="00E34C94">
        <w:tc>
          <w:tcPr>
            <w:tcW w:w="9286" w:type="dxa"/>
          </w:tcPr>
          <w:p w:rsidR="00453A6F" w:rsidRPr="00453A6F" w:rsidRDefault="00453A6F" w:rsidP="00E34C94">
            <w:pPr>
              <w:pStyle w:val="IQB-Standard"/>
              <w:rPr>
                <w:b/>
                <w:sz w:val="22"/>
                <w:szCs w:val="22"/>
              </w:rPr>
            </w:pPr>
            <w:r w:rsidRPr="00453A6F">
              <w:rPr>
                <w:b/>
                <w:noProof/>
              </w:rPr>
              <mc:AlternateContent>
                <mc:Choice Requires="wps">
                  <w:drawing>
                    <wp:anchor distT="0" distB="0" distL="114297" distR="114297" simplePos="0" relativeHeight="251659264" behindDoc="0" locked="0" layoutInCell="1" allowOverlap="1">
                      <wp:simplePos x="0" y="0"/>
                      <wp:positionH relativeFrom="column">
                        <wp:posOffset>-132081</wp:posOffset>
                      </wp:positionH>
                      <wp:positionV relativeFrom="paragraph">
                        <wp:posOffset>-80645</wp:posOffset>
                      </wp:positionV>
                      <wp:extent cx="0" cy="2303780"/>
                      <wp:effectExtent l="19050" t="0" r="38100" b="39370"/>
                      <wp:wrapNone/>
                      <wp:docPr id="139" name="Gerader Verbinde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0378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22096EB" id="Gerader Verbinder 139"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4pt,-6.35pt" to="-10.4pt,17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" strokecolor="#bfbfbf" strokeweight="4.5pt">
                      <o:lock v:ext="edit" shapetype="f"/>
                    </v:line>
                  </w:pict>
                </mc:Fallback>
              </mc:AlternateContent>
            </w:r>
            <w:r w:rsidRPr="00453A6F">
              <w:rPr>
                <w:b/>
                <w:sz w:val="22"/>
                <w:szCs w:val="22"/>
              </w:rPr>
              <w:t>Aufgabe</w:t>
            </w:r>
          </w:p>
          <w:p w:rsidR="00453A6F" w:rsidRPr="00453A6F" w:rsidRDefault="00453A6F" w:rsidP="00E34C94">
            <w:pPr>
              <w:pStyle w:val="IQB-Standard"/>
              <w:rPr>
                <w:sz w:val="22"/>
                <w:szCs w:val="22"/>
              </w:rPr>
            </w:pPr>
            <w:r w:rsidRPr="00453A6F">
              <w:rPr>
                <w:sz w:val="22"/>
                <w:szCs w:val="22"/>
              </w:rPr>
              <w:t>Neslihan hat eine Prepaid-Karte für Ihr Smartphone vom Anbieter XYZ-Mobile. Da sie viele SMS schreibt und gerne im Internet surft, hat sie für beides eine Flatrate für jeweils 5 Euro gebucht. Für die Gesprächsminute ins Festnetz und in die Mobilnetze zahlt sie 9 Cent. Sie überlegt, ob sie auch noch eine Allnet-Flatrate buchen soll, die 10 Euro kostet.</w:t>
            </w:r>
          </w:p>
          <w:p w:rsidR="00453A6F" w:rsidRPr="00453A6F" w:rsidRDefault="00453A6F" w:rsidP="00453A6F">
            <w:pPr>
              <w:pStyle w:val="IQB-Teilaufgabentitel"/>
              <w:numPr>
                <w:ilvl w:val="0"/>
                <w:numId w:val="9"/>
              </w:numPr>
              <w:spacing w:before="360" w:after="0"/>
              <w:rPr>
                <w:szCs w:val="22"/>
              </w:rPr>
            </w:pPr>
            <w:r w:rsidRPr="00453A6F">
              <w:rPr>
                <w:szCs w:val="22"/>
              </w:rPr>
              <w:t>Neslihan hat in diesem Monat nur 40 Minuten telefoniert, weil Ihr Smartphone kaputt gegangen ist. Berechne, wie viel sie an XYZ-Mobile bezahlen muss.</w:t>
            </w:r>
          </w:p>
          <w:p w:rsidR="00453A6F" w:rsidRPr="00453A6F" w:rsidRDefault="00453A6F" w:rsidP="00453A6F">
            <w:pPr>
              <w:pStyle w:val="IQB-Teilaufgabentitel"/>
              <w:numPr>
                <w:ilvl w:val="0"/>
                <w:numId w:val="9"/>
              </w:numPr>
              <w:spacing w:before="360" w:after="0"/>
              <w:rPr>
                <w:szCs w:val="22"/>
              </w:rPr>
            </w:pPr>
            <w:r w:rsidRPr="00453A6F">
              <w:rPr>
                <w:szCs w:val="22"/>
              </w:rPr>
              <w:t>In Zukunft möchte Neslihan nicht mehr als 15 Euro im Monat für SMS, Internet und Telefonieren ausgeben. Berechne, wie viele Minuten sie telefonieren kann, wenn sie weiterhin eine Flatrate für SMS und eine Flatrate für den Datenverkehr hat.</w:t>
            </w:r>
          </w:p>
        </w:tc>
      </w:tr>
    </w:tbl>
    <w:p w:rsidR="00694A63" w:rsidRPr="007E6CC0" w:rsidRDefault="00694A63" w:rsidP="00453A6F">
      <w:pPr>
        <w:pStyle w:val="IQB-Standard"/>
        <w:rPr>
          <w:sz w:val="22"/>
          <w:szCs w:val="22"/>
        </w:rPr>
      </w:pPr>
      <w:bookmarkStart w:id="1" w:name="_GoBack"/>
      <w:bookmarkEnd w:id="1"/>
    </w:p>
    <w:sectPr w:rsidR="00694A63" w:rsidRPr="007E6CC0"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16C4C37-2E9C-4AE3-83E3-F10A9BE8122E}"/>
    <w:embedBold r:id="rId2" w:fontKey="{2E4999AF-31AB-4424-AA11-86C61CB58307}"/>
    <w:embedBoldItalic r:id="rId3" w:fontKey="{093707FE-DF8B-4DB3-9523-1C91B493FC1B}"/>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
  </w:num>
  <w:num w:numId="3">
    <w:abstractNumId w:val="0"/>
  </w:num>
  <w:num w:numId="4">
    <w:abstractNumId w:val="8"/>
  </w:num>
  <w:num w:numId="5">
    <w:abstractNumId w:val="5"/>
  </w:num>
  <w:num w:numId="6">
    <w:abstractNumId w:val="6"/>
  </w:num>
  <w:num w:numId="7">
    <w:abstractNumId w:val="3"/>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046F1CC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5A802B-64E9-4FAB-B1B5-07F2AFCCB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662</Words>
  <Characters>4532</Characters>
  <Application>Microsoft Office Word</Application>
  <DocSecurity>0</DocSecurity>
  <Lines>377</Lines>
  <Paragraphs>399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2025-06-03T14:06:00Z</dcterms:created>
  <dcterms:modified xsi:type="dcterms:W3CDTF">2025-06-03T14:06:00Z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